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5493BB5E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541A2" w:rsidRPr="00A541A2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975 </w:t>
      </w:r>
      <w:r w:rsidR="00BC78E7">
        <w:rPr>
          <w:rFonts w:ascii="Arial" w:hAnsi="Arial" w:cs="Arial"/>
          <w:b/>
          <w:bCs/>
          <w:i/>
          <w:sz w:val="20"/>
          <w:lang w:eastAsia="ar-SA"/>
        </w:rPr>
        <w:t xml:space="preserve">na odcinku </w:t>
      </w:r>
      <w:r w:rsidR="00A541A2" w:rsidRPr="00A541A2">
        <w:rPr>
          <w:rFonts w:ascii="Arial" w:hAnsi="Arial" w:cs="Arial"/>
          <w:b/>
          <w:bCs/>
          <w:i/>
          <w:sz w:val="20"/>
          <w:lang w:eastAsia="ar-SA"/>
        </w:rPr>
        <w:t xml:space="preserve">Bogumiłowice </w:t>
      </w:r>
      <w:r w:rsidR="00BC78E7">
        <w:rPr>
          <w:rFonts w:ascii="Arial" w:hAnsi="Arial" w:cs="Arial"/>
          <w:b/>
          <w:bCs/>
          <w:i/>
          <w:sz w:val="20"/>
          <w:lang w:eastAsia="ar-SA"/>
        </w:rPr>
        <w:t xml:space="preserve">– </w:t>
      </w:r>
      <w:r w:rsidR="00A541A2" w:rsidRPr="00A541A2">
        <w:rPr>
          <w:rFonts w:ascii="Arial" w:hAnsi="Arial" w:cs="Arial"/>
          <w:b/>
          <w:bCs/>
          <w:i/>
          <w:sz w:val="20"/>
          <w:lang w:eastAsia="ar-SA"/>
        </w:rPr>
        <w:t>Łętowice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637822CF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A541A2">
        <w:rPr>
          <w:rFonts w:ascii="Arial" w:hAnsi="Arial" w:cs="Arial"/>
          <w:b/>
          <w:bCs/>
          <w:sz w:val="20"/>
        </w:rPr>
        <w:t>4</w:t>
      </w:r>
      <w:r w:rsidR="00A04499" w:rsidRPr="000C3CDE">
        <w:rPr>
          <w:rFonts w:ascii="Arial" w:hAnsi="Arial" w:cs="Arial"/>
          <w:b/>
          <w:bCs/>
          <w:sz w:val="20"/>
        </w:rPr>
        <w:t>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26FA2631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A541A2">
        <w:rPr>
          <w:rFonts w:ascii="Arial" w:hAnsi="Arial" w:cs="Arial"/>
          <w:b/>
          <w:bCs/>
          <w:sz w:val="20"/>
          <w:lang w:eastAsia="ar-SA"/>
        </w:rPr>
        <w:t>100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 xml:space="preserve">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BC78E7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  <w:bookmarkStart w:id="2" w:name="_GoBack"/>
      <w:bookmarkEnd w:id="2"/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ADDB" w14:textId="77777777" w:rsidR="00D10E6B" w:rsidRDefault="00D10E6B" w:rsidP="00897BB7">
      <w:r>
        <w:separator/>
      </w:r>
    </w:p>
  </w:endnote>
  <w:endnote w:type="continuationSeparator" w:id="0">
    <w:p w14:paraId="1CF549D1" w14:textId="77777777" w:rsidR="00D10E6B" w:rsidRDefault="00D10E6B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541A2" w:rsidRPr="00A541A2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541A2" w:rsidRPr="00A541A2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4D084" w14:textId="77777777" w:rsidR="00D10E6B" w:rsidRDefault="00D10E6B" w:rsidP="00897BB7">
      <w:r>
        <w:separator/>
      </w:r>
    </w:p>
  </w:footnote>
  <w:footnote w:type="continuationSeparator" w:id="0">
    <w:p w14:paraId="6960A0C6" w14:textId="77777777" w:rsidR="00D10E6B" w:rsidRDefault="00D10E6B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10E6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10E6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10E6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1EBD6EA3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A541A2">
      <w:rPr>
        <w:rFonts w:ascii="Arial" w:hAnsi="Arial" w:cs="Arial"/>
        <w:sz w:val="16"/>
        <w:szCs w:val="16"/>
      </w:rPr>
      <w:t>DN-4.26.53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44006C"/>
    <w:rsid w:val="004B0646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541A2"/>
    <w:rsid w:val="00A615BB"/>
    <w:rsid w:val="00AB5F71"/>
    <w:rsid w:val="00AD24B7"/>
    <w:rsid w:val="00AE1094"/>
    <w:rsid w:val="00AE1B1A"/>
    <w:rsid w:val="00AF76A0"/>
    <w:rsid w:val="00B15A28"/>
    <w:rsid w:val="00B67E4F"/>
    <w:rsid w:val="00BC6A5F"/>
    <w:rsid w:val="00BC78E7"/>
    <w:rsid w:val="00C149A2"/>
    <w:rsid w:val="00C45A51"/>
    <w:rsid w:val="00C47F20"/>
    <w:rsid w:val="00C52317"/>
    <w:rsid w:val="00C6607A"/>
    <w:rsid w:val="00C71E23"/>
    <w:rsid w:val="00C93507"/>
    <w:rsid w:val="00CB2AE1"/>
    <w:rsid w:val="00CD27F7"/>
    <w:rsid w:val="00CD41A1"/>
    <w:rsid w:val="00CE3392"/>
    <w:rsid w:val="00D10E6B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1627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60</cp:revision>
  <dcterms:created xsi:type="dcterms:W3CDTF">2021-04-21T06:54:00Z</dcterms:created>
  <dcterms:modified xsi:type="dcterms:W3CDTF">2026-05-27T07:54:00Z</dcterms:modified>
</cp:coreProperties>
</file>